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14:anchorId="054A1D5B" wp14:editId="0754D918">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8B41B3" w:rsidP="008B41B3">
      <w:pPr>
        <w:pStyle w:val="Default"/>
        <w:spacing w:line="360" w:lineRule="auto"/>
        <w:rPr>
          <w:rFonts w:ascii="Times New Roman" w:hAnsi="Times New Roman" w:cs="Times New Roman"/>
          <w:b/>
          <w:bCs/>
          <w:sz w:val="28"/>
          <w:u w:val="single"/>
        </w:rPr>
      </w:pPr>
      <w:r w:rsidRPr="008B41B3">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2C480D">
        <w:rPr>
          <w:rFonts w:ascii="Times New Roman" w:hAnsi="Times New Roman" w:cs="Times New Roman"/>
          <w:b/>
          <w:bCs/>
          <w:sz w:val="28"/>
          <w:u w:val="single"/>
        </w:rPr>
        <w:t>18</w:t>
      </w:r>
      <w:r w:rsidR="00C312D9">
        <w:rPr>
          <w:rFonts w:ascii="Times New Roman" w:hAnsi="Times New Roman" w:cs="Times New Roman"/>
          <w:b/>
          <w:bCs/>
          <w:sz w:val="28"/>
          <w:u w:val="single"/>
        </w:rPr>
        <w:t xml:space="preserve"> OF 2019-2020</w:t>
      </w:r>
      <w:r w:rsidR="00C312D9" w:rsidRPr="00836CFA">
        <w:rPr>
          <w:rFonts w:ascii="Times New Roman" w:hAnsi="Times New Roman" w:cs="Times New Roman"/>
          <w:b/>
          <w:bCs/>
          <w:sz w:val="28"/>
          <w:u w:val="single"/>
        </w:rPr>
        <w:t>.</w:t>
      </w:r>
    </w:p>
    <w:p w:rsidR="00C312D9" w:rsidRPr="00593B82" w:rsidRDefault="00226908"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DD65AA">
        <w:rPr>
          <w:rFonts w:ascii="Times New Roman" w:hAnsi="Times New Roman" w:cs="Times New Roman"/>
          <w:b/>
          <w:bCs/>
          <w:sz w:val="22"/>
          <w:szCs w:val="22"/>
        </w:rPr>
        <w:t>600</w:t>
      </w:r>
      <w:r w:rsidR="005B3A2A">
        <w:rPr>
          <w:rFonts w:ascii="Times New Roman" w:hAnsi="Times New Roman" w:cs="Times New Roman"/>
          <w:b/>
          <w:bCs/>
          <w:sz w:val="22"/>
          <w:szCs w:val="22"/>
        </w:rPr>
        <w:t xml:space="preserve">  </w:t>
      </w:r>
      <w:r w:rsidR="00C312D9">
        <w:rPr>
          <w:rFonts w:ascii="Times New Roman" w:hAnsi="Times New Roman" w:cs="Times New Roman"/>
          <w:b/>
          <w:bCs/>
          <w:sz w:val="22"/>
          <w:szCs w:val="22"/>
        </w:rPr>
        <w:t xml:space="preserve">                                                                                            </w:t>
      </w:r>
      <w:r w:rsidR="005B3A2A">
        <w:rPr>
          <w:rFonts w:ascii="Times New Roman" w:hAnsi="Times New Roman" w:cs="Times New Roman"/>
          <w:b/>
          <w:bCs/>
          <w:sz w:val="22"/>
          <w:szCs w:val="22"/>
        </w:rPr>
        <w:t xml:space="preserve">                      Dated: -2</w:t>
      </w:r>
      <w:r w:rsidR="00DD65AA">
        <w:rPr>
          <w:rFonts w:ascii="Times New Roman" w:hAnsi="Times New Roman" w:cs="Times New Roman"/>
          <w:b/>
          <w:bCs/>
          <w:sz w:val="22"/>
          <w:szCs w:val="22"/>
        </w:rPr>
        <w:t>4</w:t>
      </w:r>
      <w:r w:rsidR="00906518">
        <w:rPr>
          <w:rFonts w:ascii="Times New Roman" w:hAnsi="Times New Roman" w:cs="Times New Roman"/>
          <w:b/>
          <w:bCs/>
          <w:sz w:val="22"/>
          <w:szCs w:val="22"/>
        </w:rPr>
        <w:t>.10</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firstRow="1" w:lastRow="0" w:firstColumn="1" w:lastColumn="0" w:noHBand="0" w:noVBand="1"/>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DD65AA" w:rsidP="005B3A2A">
            <w:pPr>
              <w:jc w:val="center"/>
            </w:pPr>
            <w:r>
              <w:rPr>
                <w:rFonts w:cs="Times New Roman"/>
                <w:sz w:val="21"/>
                <w:szCs w:val="21"/>
              </w:rPr>
              <w:t>20</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DD65AA" w:rsidP="005B3A2A">
            <w:pPr>
              <w:jc w:val="center"/>
            </w:pPr>
            <w:r>
              <w:rPr>
                <w:rFonts w:cs="Times New Roman"/>
                <w:sz w:val="21"/>
                <w:szCs w:val="21"/>
              </w:rPr>
              <w:t>24</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DD65AA" w:rsidP="005B3A2A">
            <w:pPr>
              <w:jc w:val="center"/>
            </w:pPr>
            <w:r>
              <w:rPr>
                <w:rFonts w:cs="Times New Roman"/>
                <w:sz w:val="21"/>
                <w:szCs w:val="21"/>
              </w:rPr>
              <w:t>28</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DD65A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DD65AA" w:rsidP="00906518">
            <w:pPr>
              <w:jc w:val="center"/>
            </w:pPr>
            <w:r>
              <w:rPr>
                <w:rFonts w:cs="Times New Roman"/>
                <w:sz w:val="21"/>
                <w:szCs w:val="21"/>
              </w:rPr>
              <w:t>2</w:t>
            </w:r>
            <w:r w:rsidR="005B3A2A">
              <w:rPr>
                <w:rFonts w:cs="Times New Roman"/>
                <w:sz w:val="21"/>
                <w:szCs w:val="21"/>
              </w:rPr>
              <w:t>8</w:t>
            </w:r>
            <w:r w:rsidR="00906518">
              <w:rPr>
                <w:rFonts w:cs="Times New Roman"/>
                <w:sz w:val="21"/>
                <w:szCs w:val="21"/>
              </w:rPr>
              <w:t>.11</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Pr="003036B9">
        <w:rPr>
          <w:rFonts w:ascii="Times New Roman" w:hAnsi="Times New Roman" w:cs="Times New Roman"/>
          <w:sz w:val="21"/>
          <w:szCs w:val="21"/>
        </w:rPr>
        <w:t xml:space="preserve"> </w:t>
      </w:r>
      <w:r>
        <w:rPr>
          <w:rFonts w:ascii="Times New Roman" w:hAnsi="Times New Roman" w:cs="Times New Roman"/>
          <w:sz w:val="21"/>
          <w:szCs w:val="21"/>
        </w:rPr>
        <w:t>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14"/>
          <w:szCs w:val="14"/>
        </w:rPr>
        <w:t xml:space="preserve"> </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sidRPr="00344887">
        <w:rPr>
          <w:rFonts w:ascii="Times New Roman" w:hAnsi="Times New Roman" w:cs="Times New Roman"/>
          <w:sz w:val="18"/>
          <w:szCs w:val="21"/>
        </w:rPr>
        <w:t xml:space="preserve"> </w:t>
      </w:r>
      <w:r>
        <w:rPr>
          <w:rFonts w:ascii="Times New Roman" w:hAnsi="Times New Roman" w:cs="Times New Roman"/>
          <w:sz w:val="21"/>
          <w:szCs w:val="21"/>
        </w:rPr>
        <w:t>and Completion Certificate, and Work order with Work Schedule Documents for similar nature of single completed.</w:t>
      </w:r>
      <w:r w:rsidRPr="00344887">
        <w:t xml:space="preserve"> </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Pr="002740F4">
        <w:rPr>
          <w:rFonts w:ascii="Times New Roman" w:hAnsi="Times New Roman" w:cs="Times New Roman"/>
          <w:b/>
          <w:color w:val="auto"/>
          <w:sz w:val="20"/>
          <w:szCs w:val="20"/>
        </w:rPr>
        <w:t xml:space="preserve"> </w:t>
      </w:r>
      <w:proofErr w:type="spellStart"/>
      <w:proofErr w:type="gram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proofErr w:type="gram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7. a) Tender Paper can be had on Cash Payment of requisite amount (</w:t>
      </w:r>
      <w:proofErr w:type="spellStart"/>
      <w:r w:rsidRPr="00593B82">
        <w:rPr>
          <w:rFonts w:ascii="Times New Roman" w:hAnsi="Times New Roman" w:cs="Times New Roman"/>
          <w:color w:val="auto"/>
          <w:sz w:val="21"/>
          <w:szCs w:val="21"/>
        </w:rPr>
        <w:t>non refundable</w:t>
      </w:r>
      <w:proofErr w:type="spellEnd"/>
      <w:r w:rsidRPr="00593B82">
        <w:rPr>
          <w:rFonts w:ascii="Times New Roman" w:hAnsi="Times New Roman" w:cs="Times New Roman"/>
          <w:color w:val="auto"/>
          <w:sz w:val="21"/>
          <w:szCs w:val="21"/>
        </w:rPr>
        <w:t xml:space="preserv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;Bankura</w:t>
      </w:r>
      <w:proofErr w:type="gram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spellStart"/>
      <w:proofErr w:type="gramEnd"/>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plicate in W.B. Form No.2911(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02% of tender amount will be converted to as a part of Security deposit  and remained security deposit  @  08%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C312D9"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423B0C">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423B0C">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Tenderer other </w:t>
      </w:r>
      <w:proofErr w:type="spellStart"/>
      <w:r w:rsidRPr="00593B82">
        <w:rPr>
          <w:rFonts w:ascii="Times New Roman" w:hAnsi="Times New Roman" w:cs="Times New Roman"/>
          <w:color w:val="auto"/>
          <w:sz w:val="21"/>
          <w:szCs w:val="21"/>
        </w:rPr>
        <w:t>then</w:t>
      </w:r>
      <w:proofErr w:type="spellEnd"/>
      <w:r w:rsidRPr="00593B82">
        <w:rPr>
          <w:rFonts w:ascii="Times New Roman" w:hAnsi="Times New Roman" w:cs="Times New Roman"/>
          <w:color w:val="auto"/>
          <w:sz w:val="21"/>
          <w:szCs w:val="21"/>
        </w:rPr>
        <w:t xml:space="preserve">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C312D9" w:rsidRDefault="00C312D9" w:rsidP="00C312D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C312D9" w:rsidRPr="005A027D" w:rsidRDefault="00C312D9" w:rsidP="00C312D9">
      <w:pPr>
        <w:rPr>
          <w:b/>
          <w:sz w:val="16"/>
          <w:szCs w:val="16"/>
        </w:rPr>
      </w:pPr>
      <w:r w:rsidRPr="005A027D">
        <w:rPr>
          <w:b/>
          <w:sz w:val="16"/>
          <w:szCs w:val="16"/>
        </w:rPr>
        <w:t xml:space="preserve">                                                                                                                                                                        </w:t>
      </w:r>
      <w:r w:rsidR="00226908">
        <w:rPr>
          <w:b/>
          <w:sz w:val="16"/>
          <w:szCs w:val="16"/>
        </w:rPr>
        <w:t xml:space="preserve">       </w:t>
      </w:r>
      <w:r w:rsidRPr="005A027D">
        <w:rPr>
          <w:b/>
          <w:sz w:val="16"/>
          <w:szCs w:val="16"/>
        </w:rPr>
        <w:t xml:space="preserve">         Sub-Divisional Officer    </w:t>
      </w:r>
    </w:p>
    <w:p w:rsidR="00C312D9" w:rsidRPr="005A027D" w:rsidRDefault="00C312D9" w:rsidP="00C312D9">
      <w:pPr>
        <w:rPr>
          <w:b/>
          <w:sz w:val="16"/>
          <w:szCs w:val="16"/>
        </w:rPr>
      </w:pPr>
      <w:r>
        <w:rPr>
          <w:b/>
          <w:sz w:val="16"/>
          <w:szCs w:val="16"/>
        </w:rPr>
        <w:t xml:space="preserve">                                                                                                                                                                           </w:t>
      </w:r>
      <w:r w:rsidR="00226908">
        <w:rPr>
          <w:b/>
          <w:sz w:val="16"/>
          <w:szCs w:val="16"/>
        </w:rPr>
        <w:t xml:space="preserve">        </w:t>
      </w:r>
      <w:r>
        <w:rPr>
          <w:b/>
          <w:sz w:val="16"/>
          <w:szCs w:val="16"/>
        </w:rPr>
        <w:t xml:space="preserve">   </w:t>
      </w:r>
      <w:r w:rsidRPr="005A027D">
        <w:rPr>
          <w:b/>
          <w:sz w:val="16"/>
          <w:szCs w:val="16"/>
        </w:rPr>
        <w:t>K.</w:t>
      </w:r>
      <w:proofErr w:type="gramStart"/>
      <w:r>
        <w:rPr>
          <w:b/>
          <w:sz w:val="16"/>
          <w:szCs w:val="16"/>
        </w:rPr>
        <w:t>C</w:t>
      </w:r>
      <w:r w:rsidRPr="005A027D">
        <w:rPr>
          <w:b/>
          <w:sz w:val="16"/>
          <w:szCs w:val="16"/>
        </w:rPr>
        <w:t>.Sub</w:t>
      </w:r>
      <w:proofErr w:type="gramEnd"/>
      <w:r w:rsidRPr="005A027D">
        <w:rPr>
          <w:b/>
          <w:sz w:val="16"/>
          <w:szCs w:val="16"/>
        </w:rPr>
        <w:t>-Division No.-</w:t>
      </w:r>
      <w:r>
        <w:rPr>
          <w:b/>
          <w:sz w:val="16"/>
          <w:szCs w:val="16"/>
        </w:rPr>
        <w:t>I</w:t>
      </w:r>
      <w:r w:rsidRPr="005A027D">
        <w:rPr>
          <w:b/>
          <w:sz w:val="16"/>
          <w:szCs w:val="16"/>
        </w:rPr>
        <w:t xml:space="preserve">II                        </w:t>
      </w:r>
    </w:p>
    <w:p w:rsidR="00C312D9" w:rsidRPr="005A027D" w:rsidRDefault="00C312D9" w:rsidP="00C312D9">
      <w:pPr>
        <w:rPr>
          <w:b/>
          <w:sz w:val="16"/>
          <w:szCs w:val="16"/>
        </w:rPr>
      </w:pPr>
      <w:r>
        <w:rPr>
          <w:b/>
          <w:sz w:val="16"/>
          <w:szCs w:val="16"/>
        </w:rPr>
        <w:t xml:space="preserve">                                                                                                                                                                                    </w:t>
      </w:r>
      <w:r w:rsidR="00226908">
        <w:rPr>
          <w:b/>
          <w:sz w:val="16"/>
          <w:szCs w:val="16"/>
        </w:rPr>
        <w:t xml:space="preserve">        </w:t>
      </w:r>
      <w:r>
        <w:rPr>
          <w:b/>
          <w:sz w:val="16"/>
          <w:szCs w:val="16"/>
        </w:rPr>
        <w:t xml:space="preserve">   Khatra</w:t>
      </w:r>
      <w:r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226908">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Memo no</w:t>
      </w:r>
      <w:r>
        <w:rPr>
          <w:rFonts w:cs="Times New Roman"/>
          <w:b/>
          <w:color w:val="000000"/>
          <w:sz w:val="23"/>
          <w:szCs w:val="23"/>
        </w:rPr>
        <w:t>: -</w:t>
      </w:r>
      <w:r w:rsidR="00DD65AA">
        <w:rPr>
          <w:rFonts w:cs="Times New Roman"/>
          <w:b/>
          <w:color w:val="000000"/>
          <w:sz w:val="23"/>
          <w:szCs w:val="23"/>
        </w:rPr>
        <w:t>600</w:t>
      </w:r>
      <w:r>
        <w:rPr>
          <w:rFonts w:cs="Times New Roman"/>
          <w:b/>
          <w:color w:val="000000"/>
          <w:sz w:val="23"/>
          <w:szCs w:val="23"/>
        </w:rPr>
        <w:t xml:space="preserve"> /1(9)</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DD65AA">
        <w:rPr>
          <w:rFonts w:cs="Times New Roman"/>
          <w:b/>
          <w:color w:val="000000"/>
          <w:sz w:val="23"/>
          <w:szCs w:val="23"/>
        </w:rPr>
        <w:t>24</w:t>
      </w:r>
      <w:r w:rsidR="00906518">
        <w:rPr>
          <w:rFonts w:cs="Times New Roman"/>
          <w:b/>
          <w:color w:val="000000"/>
          <w:sz w:val="23"/>
          <w:szCs w:val="23"/>
        </w:rPr>
        <w:t>.10</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Pr>
          <w:rFonts w:cs="Times New Roman"/>
          <w:b/>
          <w:color w:val="000000"/>
          <w:sz w:val="28"/>
          <w:szCs w:val="23"/>
          <w:u w:val="single"/>
        </w:rPr>
        <w:t xml:space="preserve"> </w:t>
      </w:r>
      <w:r w:rsidRPr="00000BA9">
        <w:rPr>
          <w:rFonts w:cs="Times New Roman"/>
          <w:b/>
          <w:color w:val="000000"/>
          <w:sz w:val="28"/>
          <w:szCs w:val="23"/>
          <w:u w:val="single"/>
        </w:rPr>
        <w:t>forwarded</w:t>
      </w:r>
      <w:r>
        <w:rPr>
          <w:rFonts w:cs="Times New Roman"/>
          <w:b/>
          <w:color w:val="000000"/>
          <w:sz w:val="28"/>
          <w:szCs w:val="23"/>
          <w:u w:val="single"/>
        </w:rPr>
        <w:t xml:space="preserve"> </w:t>
      </w:r>
      <w:r w:rsidRPr="00000BA9">
        <w:rPr>
          <w:rFonts w:cs="Times New Roman"/>
          <w:b/>
          <w:color w:val="000000"/>
          <w:sz w:val="28"/>
          <w:szCs w:val="23"/>
          <w:u w:val="single"/>
        </w:rPr>
        <w:t xml:space="preserve"> for </w:t>
      </w:r>
      <w:r>
        <w:rPr>
          <w:rFonts w:cs="Times New Roman"/>
          <w:b/>
          <w:color w:val="000000"/>
          <w:sz w:val="28"/>
          <w:szCs w:val="23"/>
          <w:u w:val="single"/>
        </w:rPr>
        <w:t xml:space="preserve"> </w:t>
      </w:r>
      <w:r w:rsidRPr="00000BA9">
        <w:rPr>
          <w:rFonts w:cs="Times New Roman"/>
          <w:b/>
          <w:color w:val="000000"/>
          <w:sz w:val="28"/>
          <w:szCs w:val="23"/>
          <w:u w:val="single"/>
        </w:rPr>
        <w:t>favor</w:t>
      </w:r>
      <w:r>
        <w:rPr>
          <w:rFonts w:cs="Times New Roman"/>
          <w:b/>
          <w:color w:val="000000"/>
          <w:sz w:val="28"/>
          <w:szCs w:val="23"/>
          <w:u w:val="single"/>
        </w:rPr>
        <w:t xml:space="preserve"> </w:t>
      </w:r>
      <w:r w:rsidRPr="00000BA9">
        <w:rPr>
          <w:rFonts w:cs="Times New Roman"/>
          <w:b/>
          <w:color w:val="000000"/>
          <w:sz w:val="28"/>
          <w:szCs w:val="23"/>
          <w:u w:val="single"/>
        </w:rPr>
        <w:t xml:space="preserve"> of</w:t>
      </w:r>
      <w:r>
        <w:rPr>
          <w:rFonts w:cs="Times New Roman"/>
          <w:b/>
          <w:color w:val="000000"/>
          <w:sz w:val="28"/>
          <w:szCs w:val="23"/>
          <w:u w:val="single"/>
        </w:rPr>
        <w:t xml:space="preserve"> </w:t>
      </w:r>
      <w:r w:rsidRPr="00000BA9">
        <w:rPr>
          <w:rFonts w:cs="Times New Roman"/>
          <w:b/>
          <w:color w:val="000000"/>
          <w:sz w:val="28"/>
          <w:szCs w:val="23"/>
          <w:u w:val="single"/>
        </w:rPr>
        <w:t xml:space="preserve"> information</w:t>
      </w:r>
      <w:r>
        <w:rPr>
          <w:rFonts w:cs="Times New Roman"/>
          <w:b/>
          <w:color w:val="000000"/>
          <w:sz w:val="28"/>
          <w:szCs w:val="23"/>
          <w:u w:val="single"/>
        </w:rPr>
        <w:t xml:space="preserve"> </w:t>
      </w:r>
      <w:r w:rsidRPr="00000BA9">
        <w:rPr>
          <w:rFonts w:cs="Times New Roman"/>
          <w:b/>
          <w:color w:val="000000"/>
          <w:sz w:val="28"/>
          <w:szCs w:val="23"/>
          <w:u w:val="single"/>
        </w:rPr>
        <w:t xml:space="preserve"> and</w:t>
      </w:r>
      <w:r>
        <w:rPr>
          <w:rFonts w:cs="Times New Roman"/>
          <w:b/>
          <w:color w:val="000000"/>
          <w:sz w:val="28"/>
          <w:szCs w:val="23"/>
          <w:u w:val="single"/>
        </w:rPr>
        <w:t xml:space="preserve"> </w:t>
      </w:r>
      <w:r w:rsidRPr="00000BA9">
        <w:rPr>
          <w:rFonts w:cs="Times New Roman"/>
          <w:b/>
          <w:color w:val="000000"/>
          <w:sz w:val="28"/>
          <w:szCs w:val="23"/>
          <w:u w:val="single"/>
        </w:rPr>
        <w:t xml:space="preserve"> wide </w:t>
      </w:r>
      <w:r>
        <w:rPr>
          <w:rFonts w:cs="Times New Roman"/>
          <w:b/>
          <w:color w:val="000000"/>
          <w:sz w:val="28"/>
          <w:szCs w:val="23"/>
          <w:u w:val="single"/>
        </w:rPr>
        <w:t xml:space="preserve"> </w:t>
      </w:r>
      <w:r w:rsidRPr="00000BA9">
        <w:rPr>
          <w:rFonts w:cs="Times New Roman"/>
          <w:b/>
          <w:color w:val="000000"/>
          <w:sz w:val="28"/>
          <w:szCs w:val="23"/>
          <w:u w:val="single"/>
        </w:rPr>
        <w:t xml:space="preserve">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w:t>
      </w:r>
      <w:r>
        <w:rPr>
          <w:rFonts w:cs="Times New Roman"/>
          <w:color w:val="000000"/>
          <w:sz w:val="23"/>
          <w:szCs w:val="23"/>
        </w:rPr>
        <w:t xml:space="preserve"> </w:t>
      </w:r>
      <w:r w:rsidRPr="00000BA9">
        <w:rPr>
          <w:rFonts w:cs="Times New Roman"/>
          <w:color w:val="000000"/>
          <w:sz w:val="23"/>
          <w:szCs w:val="23"/>
        </w:rPr>
        <w:t>Executive Engineer / Kangsabati Canals Division No-II ,Khatra , Bankura. With his ref.</w:t>
      </w:r>
      <w:r>
        <w:rPr>
          <w:rFonts w:cs="Times New Roman"/>
          <w:color w:val="000000"/>
          <w:sz w:val="23"/>
          <w:szCs w:val="23"/>
        </w:rPr>
        <w:t xml:space="preserve">to his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     Memo </w:t>
      </w:r>
      <w:proofErr w:type="gramStart"/>
      <w:r>
        <w:rPr>
          <w:rFonts w:cs="Times New Roman"/>
          <w:color w:val="000000"/>
          <w:sz w:val="23"/>
          <w:szCs w:val="23"/>
        </w:rPr>
        <w:t>No.:-</w:t>
      </w:r>
      <w:proofErr w:type="gramEnd"/>
      <w:r>
        <w:rPr>
          <w:rFonts w:cs="Times New Roman"/>
          <w:color w:val="000000"/>
          <w:sz w:val="23"/>
          <w:szCs w:val="23"/>
        </w:rPr>
        <w:t xml:space="preserve"> </w:t>
      </w:r>
      <w:r w:rsidR="00696F49">
        <w:rPr>
          <w:rFonts w:cs="Times New Roman"/>
          <w:color w:val="000000"/>
          <w:sz w:val="23"/>
          <w:szCs w:val="23"/>
        </w:rPr>
        <w:t>1350</w:t>
      </w:r>
      <w:r>
        <w:rPr>
          <w:rFonts w:cs="Times New Roman"/>
          <w:color w:val="000000"/>
          <w:sz w:val="23"/>
          <w:szCs w:val="23"/>
        </w:rPr>
        <w:t>, Dated</w:t>
      </w:r>
      <w:r w:rsidRPr="00000BA9">
        <w:rPr>
          <w:rFonts w:cs="Times New Roman"/>
          <w:color w:val="000000"/>
          <w:sz w:val="23"/>
          <w:szCs w:val="23"/>
        </w:rPr>
        <w:t xml:space="preserve">- </w:t>
      </w:r>
      <w:r w:rsidR="00696F49">
        <w:rPr>
          <w:rFonts w:cs="Times New Roman"/>
          <w:color w:val="000000"/>
          <w:sz w:val="23"/>
          <w:szCs w:val="23"/>
        </w:rPr>
        <w:t>22</w:t>
      </w:r>
      <w:r w:rsidR="00423B0C">
        <w:rPr>
          <w:rFonts w:cs="Times New Roman"/>
          <w:color w:val="000000"/>
          <w:sz w:val="23"/>
          <w:szCs w:val="23"/>
        </w:rPr>
        <w:t>.10</w:t>
      </w:r>
      <w:r>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w:t>
      </w:r>
      <w:r>
        <w:rPr>
          <w:rFonts w:cs="Times New Roman"/>
          <w:color w:val="000000"/>
          <w:sz w:val="23"/>
          <w:szCs w:val="23"/>
        </w:rPr>
        <w:t xml:space="preserve"> </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 xml:space="preserve"> </w:t>
      </w:r>
      <w:proofErr w:type="spellStart"/>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 xml:space="preserve">    </w:t>
      </w:r>
      <w:r>
        <w:rPr>
          <w:rFonts w:cs="Times New Roman"/>
          <w:sz w:val="21"/>
          <w:szCs w:val="21"/>
        </w:rPr>
        <w:t xml:space="preserve">    </w:t>
      </w: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C312D9" w:rsidRDefault="00C312D9"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w:t>
      </w:r>
      <w:r w:rsidR="008B41B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14:anchorId="0857581B" wp14:editId="19DBCB85">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A844F2" w:rsidRDefault="007D4E61" w:rsidP="007D4E61">
      <w:pPr>
        <w:autoSpaceDE w:val="0"/>
        <w:autoSpaceDN w:val="0"/>
        <w:adjustRightInd w:val="0"/>
        <w:rPr>
          <w:rFonts w:cs="Times New Roman"/>
          <w:b/>
          <w:bCs/>
          <w:sz w:val="22"/>
          <w:szCs w:val="22"/>
        </w:rPr>
      </w:pPr>
      <w:r>
        <w:rPr>
          <w:rFonts w:cs="Times New Roman"/>
          <w:b/>
          <w:color w:val="000000"/>
          <w:sz w:val="18"/>
          <w:szCs w:val="23"/>
        </w:rPr>
        <w:t xml:space="preserve">                          </w:t>
      </w:r>
      <w:r w:rsidR="00DD65AA">
        <w:rPr>
          <w:rFonts w:cs="Times New Roman"/>
          <w:b/>
          <w:color w:val="000000"/>
          <w:sz w:val="18"/>
          <w:szCs w:val="23"/>
        </w:rPr>
        <w:t xml:space="preserve">                          </w:t>
      </w:r>
      <w:r w:rsidR="00DD65AA">
        <w:rPr>
          <w:rFonts w:cs="Times New Roman"/>
          <w:b/>
          <w:bCs/>
          <w:sz w:val="22"/>
          <w:szCs w:val="22"/>
        </w:rPr>
        <w:t xml:space="preserve">Memo No-  600                                 </w:t>
      </w:r>
      <w:r>
        <w:rPr>
          <w:rFonts w:cs="Times New Roman"/>
          <w:b/>
          <w:color w:val="000000"/>
          <w:sz w:val="18"/>
          <w:szCs w:val="23"/>
        </w:rPr>
        <w:t xml:space="preserve"> </w:t>
      </w:r>
      <w:r w:rsidR="00DD65AA">
        <w:rPr>
          <w:rFonts w:cs="Times New Roman"/>
          <w:b/>
          <w:color w:val="000000"/>
          <w:sz w:val="18"/>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DD65AA">
        <w:rPr>
          <w:rFonts w:cs="Times New Roman"/>
          <w:b/>
          <w:color w:val="000000"/>
          <w:sz w:val="18"/>
          <w:szCs w:val="23"/>
        </w:rPr>
        <w:t xml:space="preserve">                                           </w:t>
      </w:r>
      <w:r>
        <w:rPr>
          <w:rFonts w:cs="Times New Roman"/>
          <w:b/>
          <w:bCs/>
          <w:sz w:val="22"/>
          <w:szCs w:val="22"/>
        </w:rPr>
        <w:t>Date-</w:t>
      </w:r>
      <w:r w:rsidR="005B3A2A">
        <w:rPr>
          <w:rFonts w:cs="Times New Roman"/>
          <w:b/>
          <w:bCs/>
          <w:sz w:val="22"/>
          <w:szCs w:val="22"/>
        </w:rPr>
        <w:t xml:space="preserve"> </w:t>
      </w:r>
      <w:r w:rsidR="00C312D9">
        <w:rPr>
          <w:rFonts w:cs="Times New Roman"/>
          <w:b/>
          <w:bCs/>
          <w:sz w:val="22"/>
          <w:szCs w:val="22"/>
        </w:rPr>
        <w:t xml:space="preserve">  </w:t>
      </w:r>
      <w:r w:rsidR="00DD65AA">
        <w:rPr>
          <w:rFonts w:cs="Times New Roman"/>
          <w:b/>
          <w:bCs/>
          <w:sz w:val="22"/>
          <w:szCs w:val="22"/>
        </w:rPr>
        <w:t>24</w:t>
      </w:r>
      <w:r>
        <w:rPr>
          <w:rFonts w:cs="Times New Roman"/>
          <w:b/>
          <w:bCs/>
          <w:sz w:val="22"/>
          <w:szCs w:val="22"/>
        </w:rPr>
        <w:t>.10.2019</w:t>
      </w:r>
      <w:r w:rsidR="00C312D9">
        <w:rPr>
          <w:rFonts w:cs="Times New Roman"/>
          <w:b/>
          <w:bCs/>
          <w:sz w:val="22"/>
          <w:szCs w:val="22"/>
        </w:rPr>
        <w:t xml:space="preserve">                                                                                                                                                 </w:t>
      </w:r>
      <w:r w:rsidR="00C45902">
        <w:rPr>
          <w:rFonts w:cs="Times New Roman"/>
          <w:b/>
          <w:bCs/>
          <w:sz w:val="22"/>
          <w:szCs w:val="22"/>
        </w:rPr>
        <w:t xml:space="preserve">              </w:t>
      </w:r>
      <w:r>
        <w:rPr>
          <w:rFonts w:cs="Times New Roman"/>
          <w:b/>
          <w:bCs/>
          <w:sz w:val="22"/>
          <w:szCs w:val="22"/>
        </w:rPr>
        <w:t xml:space="preserve">  </w:t>
      </w:r>
    </w:p>
    <w:p w:rsidR="00906518" w:rsidRPr="00C312D9" w:rsidRDefault="00C312D9" w:rsidP="00A844F2">
      <w:pPr>
        <w:autoSpaceDE w:val="0"/>
        <w:autoSpaceDN w:val="0"/>
        <w:adjustRightInd w:val="0"/>
        <w:jc w:val="center"/>
        <w:rPr>
          <w:rFonts w:cs="Times New Roman"/>
          <w:b/>
          <w:bCs/>
          <w:color w:val="000000"/>
          <w:sz w:val="28"/>
          <w:szCs w:val="28"/>
          <w:u w:val="single"/>
        </w:rPr>
      </w:pPr>
      <w:r w:rsidRPr="00C312D9">
        <w:rPr>
          <w:rFonts w:cs="Times New Roman"/>
          <w:b/>
          <w:bCs/>
          <w:color w:val="000000"/>
          <w:sz w:val="28"/>
          <w:szCs w:val="28"/>
        </w:rPr>
        <w:t xml:space="preserve">  </w:t>
      </w:r>
      <w:r w:rsidRPr="00C312D9">
        <w:rPr>
          <w:rFonts w:cs="Times New Roman"/>
          <w:b/>
          <w:bCs/>
          <w:color w:val="000000"/>
          <w:sz w:val="28"/>
          <w:szCs w:val="28"/>
          <w:u w:val="single"/>
        </w:rPr>
        <w:t>LIST OF WORKS</w:t>
      </w:r>
    </w:p>
    <w:p w:rsidR="00906518" w:rsidRPr="002459D9"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2C480D">
        <w:rPr>
          <w:rFonts w:cs="Times New Roman"/>
          <w:b/>
          <w:color w:val="000000"/>
          <w:sz w:val="22"/>
          <w:szCs w:val="20"/>
          <w:u w:val="single"/>
        </w:rPr>
        <w:t>18</w:t>
      </w:r>
      <w:r>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C312D9" w:rsidRPr="002459D9" w:rsidRDefault="00C312D9" w:rsidP="00C312D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DD65AA">
        <w:rPr>
          <w:rFonts w:cs="Times New Roman"/>
          <w:color w:val="000000"/>
          <w:sz w:val="23"/>
          <w:szCs w:val="23"/>
        </w:rPr>
        <w:t>20</w:t>
      </w:r>
      <w:r w:rsidR="005B3A2A">
        <w:rPr>
          <w:rFonts w:cs="Times New Roman"/>
          <w:color w:val="000000"/>
          <w:sz w:val="23"/>
          <w:szCs w:val="23"/>
        </w:rPr>
        <w:t>.11.2019</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 -. </w:t>
      </w:r>
      <w:r w:rsidR="00DD65AA">
        <w:rPr>
          <w:rFonts w:cs="Times New Roman"/>
          <w:color w:val="000000"/>
          <w:sz w:val="23"/>
          <w:szCs w:val="23"/>
        </w:rPr>
        <w:t>24</w:t>
      </w:r>
      <w:r w:rsidR="005B3A2A">
        <w:rPr>
          <w:rFonts w:cs="Times New Roman"/>
          <w:color w:val="000000"/>
          <w:sz w:val="23"/>
          <w:szCs w:val="23"/>
        </w:rPr>
        <w:t>.11.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906518" w:rsidRDefault="00C312D9" w:rsidP="00C312D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Pr>
          <w:rFonts w:cs="Times New Roman"/>
          <w:color w:val="000000"/>
          <w:sz w:val="23"/>
          <w:szCs w:val="23"/>
        </w:rPr>
        <w:t xml:space="preserve">     </w:t>
      </w:r>
      <w:r w:rsidR="00DD65AA">
        <w:rPr>
          <w:rFonts w:cs="Times New Roman"/>
          <w:color w:val="000000"/>
          <w:sz w:val="23"/>
          <w:szCs w:val="23"/>
        </w:rPr>
        <w:t>2</w:t>
      </w:r>
      <w:r w:rsidR="005B3A2A">
        <w:rPr>
          <w:rFonts w:cs="Times New Roman"/>
          <w:color w:val="000000"/>
          <w:sz w:val="23"/>
          <w:szCs w:val="23"/>
        </w:rPr>
        <w:t>8</w:t>
      </w:r>
      <w:r w:rsidR="00906518">
        <w:rPr>
          <w:rFonts w:cs="Times New Roman"/>
          <w:color w:val="000000"/>
          <w:sz w:val="23"/>
          <w:szCs w:val="23"/>
        </w:rPr>
        <w:t>.11</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sidR="00DD65AA">
        <w:rPr>
          <w:rFonts w:cs="Times New Roman"/>
          <w:color w:val="000000"/>
          <w:sz w:val="23"/>
          <w:szCs w:val="23"/>
        </w:rPr>
        <w:t xml:space="preserve"> 03</w:t>
      </w:r>
      <w:r w:rsidRPr="002459D9">
        <w:rPr>
          <w:rFonts w:cs="Times New Roman"/>
          <w:color w:val="000000"/>
          <w:sz w:val="23"/>
          <w:szCs w:val="23"/>
        </w:rPr>
        <w:t>.</w:t>
      </w:r>
      <w:r w:rsidR="00DD65AA">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iv) Date of opening tender: - </w:t>
      </w:r>
      <w:r w:rsidR="00DD65AA">
        <w:rPr>
          <w:rFonts w:cs="Times New Roman"/>
          <w:color w:val="000000"/>
          <w:sz w:val="23"/>
          <w:szCs w:val="23"/>
        </w:rPr>
        <w:t>2</w:t>
      </w:r>
      <w:r w:rsidR="005B3A2A">
        <w:rPr>
          <w:rFonts w:cs="Times New Roman"/>
          <w:color w:val="000000"/>
          <w:sz w:val="23"/>
          <w:szCs w:val="23"/>
        </w:rPr>
        <w:t>8</w:t>
      </w:r>
      <w:r w:rsidR="00906518">
        <w:rPr>
          <w:rFonts w:cs="Times New Roman"/>
          <w:color w:val="000000"/>
          <w:sz w:val="23"/>
          <w:szCs w:val="23"/>
        </w:rPr>
        <w:t>.11</w:t>
      </w:r>
      <w:r>
        <w:rPr>
          <w:rFonts w:cs="Times New Roman"/>
          <w:color w:val="000000"/>
          <w:sz w:val="23"/>
          <w:szCs w:val="23"/>
        </w:rPr>
        <w:t>.2019… at…………… 03.3</w:t>
      </w:r>
      <w:r w:rsidRPr="002459D9">
        <w:rPr>
          <w:rFonts w:cs="Times New Roman"/>
          <w:color w:val="000000"/>
          <w:sz w:val="23"/>
          <w:szCs w:val="23"/>
        </w:rPr>
        <w:t>0.P.M</w:t>
      </w:r>
      <w:r>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63"/>
        <w:gridCol w:w="1134"/>
        <w:gridCol w:w="1275"/>
        <w:gridCol w:w="1134"/>
        <w:gridCol w:w="1134"/>
        <w:gridCol w:w="993"/>
        <w:gridCol w:w="2873"/>
      </w:tblGrid>
      <w:tr w:rsidR="00C312D9" w:rsidRPr="00791157" w:rsidTr="008B41B3">
        <w:trPr>
          <w:trHeight w:val="88"/>
        </w:trPr>
        <w:tc>
          <w:tcPr>
            <w:tcW w:w="425"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6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993"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87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DD1F38" w:rsidRPr="00791157" w:rsidTr="000279E8">
        <w:trPr>
          <w:trHeight w:val="335"/>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"Construction of Bituminous Macadam from Ch. 51.00 to Ch. 56.50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P.S-Khatra, Dist.-</w:t>
            </w:r>
            <w:proofErr w:type="spellStart"/>
            <w:r w:rsidRPr="00CC2F8C">
              <w:rPr>
                <w:sz w:val="16"/>
                <w:szCs w:val="16"/>
              </w:rPr>
              <w:t>Bankura</w:t>
            </w:r>
            <w:proofErr w:type="spellEnd"/>
            <w:r w:rsidRPr="00CC2F8C">
              <w:rPr>
                <w:sz w:val="16"/>
                <w:szCs w:val="16"/>
              </w:rPr>
              <w:t>."</w:t>
            </w:r>
          </w:p>
        </w:tc>
        <w:tc>
          <w:tcPr>
            <w:tcW w:w="1134" w:type="dxa"/>
            <w:vAlign w:val="center"/>
          </w:tcPr>
          <w:p w:rsidR="00DD1F38" w:rsidRPr="00791157" w:rsidRDefault="00DD1F38" w:rsidP="00DD1F38">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84,918</w:t>
            </w:r>
            <w:r w:rsidRPr="00CC2F8C">
              <w:rPr>
                <w:b/>
                <w:sz w:val="16"/>
                <w:szCs w:val="16"/>
              </w:rPr>
              <w:t>.00</w:t>
            </w:r>
          </w:p>
        </w:tc>
        <w:tc>
          <w:tcPr>
            <w:tcW w:w="1134" w:type="dxa"/>
            <w:vAlign w:val="center"/>
          </w:tcPr>
          <w:p w:rsidR="00DD1F38" w:rsidRPr="0066184F" w:rsidRDefault="00DD1F38" w:rsidP="00DD1F38">
            <w:pPr>
              <w:rPr>
                <w:rFonts w:cs="Times New Roman"/>
                <w:b/>
                <w:bCs/>
                <w:color w:val="000000"/>
                <w:sz w:val="16"/>
                <w:szCs w:val="16"/>
              </w:rPr>
            </w:pPr>
            <w:r>
              <w:rPr>
                <w:rFonts w:cs="Times New Roman"/>
                <w:b/>
                <w:bCs/>
                <w:color w:val="000000"/>
                <w:sz w:val="16"/>
                <w:szCs w:val="16"/>
              </w:rPr>
              <w:t>Rs.9,700.00</w:t>
            </w:r>
          </w:p>
        </w:tc>
        <w:tc>
          <w:tcPr>
            <w:tcW w:w="1134" w:type="dxa"/>
            <w:vAlign w:val="center"/>
          </w:tcPr>
          <w:p w:rsidR="00DD1F38" w:rsidRPr="00791157" w:rsidRDefault="00DD1F38" w:rsidP="00DD1F38">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993" w:type="dxa"/>
            <w:vAlign w:val="center"/>
          </w:tcPr>
          <w:p w:rsidR="00DD1F38" w:rsidRPr="00724B85" w:rsidRDefault="00DD1F38" w:rsidP="00DD1F38">
            <w:pPr>
              <w:autoSpaceDE w:val="0"/>
              <w:autoSpaceDN w:val="0"/>
              <w:adjustRightInd w:val="0"/>
              <w:jc w:val="center"/>
              <w:rPr>
                <w:b/>
                <w:sz w:val="16"/>
                <w:szCs w:val="16"/>
              </w:rPr>
            </w:pPr>
            <w:r>
              <w:rPr>
                <w:b/>
                <w:sz w:val="16"/>
                <w:szCs w:val="16"/>
              </w:rPr>
              <w:t xml:space="preserve">14 </w:t>
            </w:r>
            <w:r w:rsidRPr="00724B85">
              <w:rPr>
                <w:b/>
                <w:sz w:val="16"/>
                <w:szCs w:val="16"/>
              </w:rPr>
              <w:t>days</w:t>
            </w:r>
          </w:p>
          <w:p w:rsidR="00DD1F38" w:rsidRPr="00724B85" w:rsidRDefault="00DD1F38" w:rsidP="00DD1F38">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DD1F38" w:rsidRPr="00A844F2" w:rsidRDefault="00DD1F38" w:rsidP="00DD1F38">
            <w:pPr>
              <w:autoSpaceDE w:val="0"/>
              <w:autoSpaceDN w:val="0"/>
              <w:adjustRightInd w:val="0"/>
              <w:rPr>
                <w:rFonts w:cs="Times New Roman"/>
                <w:color w:val="000000"/>
                <w:sz w:val="12"/>
                <w:szCs w:val="12"/>
              </w:rPr>
            </w:pPr>
            <w:r w:rsidRPr="00A844F2">
              <w:rPr>
                <w:rFonts w:cs="Times New Roman"/>
                <w:color w:val="000000"/>
                <w:sz w:val="12"/>
                <w:szCs w:val="12"/>
              </w:rPr>
              <w:t>Bonafide outsiders having credential of execution of similar nature of single work of value 50% of the amount put to tender within the last 3 years.</w:t>
            </w:r>
          </w:p>
        </w:tc>
      </w:tr>
      <w:tr w:rsidR="00DD1F38" w:rsidRPr="00791157" w:rsidTr="00765469">
        <w:trPr>
          <w:trHeight w:val="434"/>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"Painting of Boundary wall of </w:t>
            </w:r>
            <w:proofErr w:type="spellStart"/>
            <w:r w:rsidRPr="00CC2F8C">
              <w:rPr>
                <w:sz w:val="16"/>
                <w:szCs w:val="16"/>
              </w:rPr>
              <w:t>Mukutmunipur</w:t>
            </w:r>
            <w:proofErr w:type="spellEnd"/>
            <w:r w:rsidRPr="00CC2F8C">
              <w:rPr>
                <w:sz w:val="16"/>
                <w:szCs w:val="16"/>
              </w:rPr>
              <w:t xml:space="preserve"> </w:t>
            </w:r>
            <w:proofErr w:type="spellStart"/>
            <w:r w:rsidRPr="00CC2F8C">
              <w:rPr>
                <w:sz w:val="16"/>
                <w:szCs w:val="16"/>
              </w:rPr>
              <w:t>Busstand</w:t>
            </w:r>
            <w:proofErr w:type="spellEnd"/>
            <w:r w:rsidRPr="00CC2F8C">
              <w:rPr>
                <w:sz w:val="16"/>
                <w:szCs w:val="16"/>
              </w:rPr>
              <w:t xml:space="preserve"> under K.C Division No-II in Block &amp; P.S-Khatra, Dist.-</w:t>
            </w:r>
            <w:proofErr w:type="spellStart"/>
            <w:r w:rsidRPr="00CC2F8C">
              <w:rPr>
                <w:sz w:val="16"/>
                <w:szCs w:val="16"/>
              </w:rPr>
              <w:t>Bankura</w:t>
            </w:r>
            <w:proofErr w:type="spellEnd"/>
            <w:r w:rsidRPr="00CC2F8C">
              <w:rPr>
                <w:sz w:val="16"/>
                <w:szCs w:val="16"/>
              </w:rPr>
              <w:t>. (Reach-I)"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84,785</w:t>
            </w:r>
            <w:r w:rsidRPr="00CC2F8C">
              <w:rPr>
                <w:b/>
                <w:sz w:val="16"/>
                <w:szCs w:val="16"/>
              </w:rPr>
              <w:t>.00</w:t>
            </w:r>
          </w:p>
        </w:tc>
        <w:tc>
          <w:tcPr>
            <w:tcW w:w="1134" w:type="dxa"/>
          </w:tcPr>
          <w:p w:rsidR="00DD1F38" w:rsidRDefault="00DD1F38" w:rsidP="00DD1F38">
            <w:r>
              <w:rPr>
                <w:rFonts w:cs="Times New Roman"/>
                <w:b/>
                <w:bCs/>
                <w:color w:val="000000"/>
                <w:sz w:val="16"/>
                <w:szCs w:val="16"/>
              </w:rPr>
              <w:t>Rs.9,700</w:t>
            </w:r>
            <w:r w:rsidRPr="00355775">
              <w:rPr>
                <w:rFonts w:cs="Times New Roman"/>
                <w:b/>
                <w:bCs/>
                <w:color w:val="000000"/>
                <w:sz w:val="16"/>
                <w:szCs w:val="16"/>
              </w:rPr>
              <w:t>.00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20"/>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"Construction of Bituminous Macadam from Ch. 62.00 to Ch. 67.50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P.S-Khatra, Dist.-</w:t>
            </w:r>
            <w:proofErr w:type="spellStart"/>
            <w:r w:rsidRPr="00CC2F8C">
              <w:rPr>
                <w:sz w:val="16"/>
                <w:szCs w:val="16"/>
              </w:rPr>
              <w:t>Bankura</w:t>
            </w:r>
            <w:proofErr w:type="spellEnd"/>
            <w:r w:rsidRPr="00CC2F8C">
              <w:rPr>
                <w:sz w:val="16"/>
                <w:szCs w:val="16"/>
              </w:rPr>
              <w:t>."</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85,220</w:t>
            </w:r>
            <w:r w:rsidRPr="00CC2F8C">
              <w:rPr>
                <w:b/>
                <w:sz w:val="16"/>
                <w:szCs w:val="16"/>
              </w:rPr>
              <w:t>.00</w:t>
            </w:r>
          </w:p>
        </w:tc>
        <w:tc>
          <w:tcPr>
            <w:tcW w:w="1134" w:type="dxa"/>
          </w:tcPr>
          <w:p w:rsidR="00DD1F38" w:rsidRDefault="00DD1F38" w:rsidP="00DD1F38">
            <w:r>
              <w:rPr>
                <w:rFonts w:cs="Times New Roman"/>
                <w:b/>
                <w:bCs/>
                <w:color w:val="000000"/>
                <w:sz w:val="16"/>
                <w:szCs w:val="16"/>
              </w:rPr>
              <w:t>Rs.9,705</w:t>
            </w:r>
            <w:r w:rsidRPr="00355775">
              <w:rPr>
                <w:rFonts w:cs="Times New Roman"/>
                <w:b/>
                <w:bCs/>
                <w:color w:val="000000"/>
                <w:sz w:val="16"/>
                <w:szCs w:val="16"/>
              </w:rPr>
              <w:t>.00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26"/>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"M/R to Boundary wall of </w:t>
            </w:r>
            <w:proofErr w:type="spellStart"/>
            <w:r w:rsidRPr="00CC2F8C">
              <w:rPr>
                <w:sz w:val="16"/>
                <w:szCs w:val="16"/>
              </w:rPr>
              <w:t>Kangsabati</w:t>
            </w:r>
            <w:proofErr w:type="spellEnd"/>
            <w:r w:rsidRPr="00CC2F8C">
              <w:rPr>
                <w:sz w:val="16"/>
                <w:szCs w:val="16"/>
              </w:rPr>
              <w:t xml:space="preserve"> Temporary Colony under K.C Division No-II in Block &amp; P.S-Khatra, Dist.-</w:t>
            </w:r>
            <w:proofErr w:type="spellStart"/>
            <w:r w:rsidRPr="00CC2F8C">
              <w:rPr>
                <w:sz w:val="16"/>
                <w:szCs w:val="16"/>
              </w:rPr>
              <w:t>Bankura</w:t>
            </w:r>
            <w:proofErr w:type="spellEnd"/>
            <w:r w:rsidRPr="00CC2F8C">
              <w:rPr>
                <w:sz w:val="16"/>
                <w:szCs w:val="16"/>
              </w:rPr>
              <w:t>. (Reach-II)"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84,220</w:t>
            </w:r>
            <w:r w:rsidRPr="00CC2F8C">
              <w:rPr>
                <w:b/>
                <w:sz w:val="16"/>
                <w:szCs w:val="16"/>
              </w:rPr>
              <w:t>.00</w:t>
            </w:r>
          </w:p>
        </w:tc>
        <w:tc>
          <w:tcPr>
            <w:tcW w:w="1134" w:type="dxa"/>
          </w:tcPr>
          <w:p w:rsidR="00DD1F38" w:rsidRDefault="00DD1F38" w:rsidP="00DD1F38">
            <w:r>
              <w:rPr>
                <w:rFonts w:cs="Times New Roman"/>
                <w:b/>
                <w:bCs/>
                <w:color w:val="000000"/>
                <w:sz w:val="16"/>
                <w:szCs w:val="16"/>
              </w:rPr>
              <w:t>Rs.9,685.00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31"/>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M/R to Painting at </w:t>
            </w:r>
            <w:proofErr w:type="spellStart"/>
            <w:r w:rsidRPr="00CC2F8C">
              <w:rPr>
                <w:sz w:val="16"/>
                <w:szCs w:val="16"/>
              </w:rPr>
              <w:t>Godown</w:t>
            </w:r>
            <w:proofErr w:type="spellEnd"/>
            <w:r w:rsidRPr="00CC2F8C">
              <w:rPr>
                <w:sz w:val="16"/>
                <w:szCs w:val="16"/>
              </w:rPr>
              <w:t xml:space="preserve"> west side </w:t>
            </w:r>
            <w:proofErr w:type="spellStart"/>
            <w:r w:rsidRPr="00CC2F8C">
              <w:rPr>
                <w:sz w:val="16"/>
                <w:szCs w:val="16"/>
              </w:rPr>
              <w:t>Shead</w:t>
            </w:r>
            <w:proofErr w:type="spellEnd"/>
            <w:r w:rsidRPr="00CC2F8C">
              <w:rPr>
                <w:sz w:val="16"/>
                <w:szCs w:val="16"/>
              </w:rPr>
              <w:t xml:space="preserve"> under </w:t>
            </w:r>
            <w:proofErr w:type="spellStart"/>
            <w:r w:rsidRPr="00CC2F8C">
              <w:rPr>
                <w:sz w:val="16"/>
                <w:szCs w:val="16"/>
              </w:rPr>
              <w:t>K.C.Sub</w:t>
            </w:r>
            <w:proofErr w:type="spellEnd"/>
            <w:r w:rsidRPr="00CC2F8C">
              <w:rPr>
                <w:sz w:val="16"/>
                <w:szCs w:val="16"/>
              </w:rPr>
              <w:t>-Division No- III under K.C.Division No-II."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84,025</w:t>
            </w:r>
            <w:r w:rsidRPr="00CC2F8C">
              <w:rPr>
                <w:b/>
                <w:sz w:val="16"/>
                <w:szCs w:val="16"/>
              </w:rPr>
              <w:t>.00</w:t>
            </w:r>
          </w:p>
        </w:tc>
        <w:tc>
          <w:tcPr>
            <w:tcW w:w="1134" w:type="dxa"/>
          </w:tcPr>
          <w:p w:rsidR="00DD1F38" w:rsidRDefault="00DD1F38" w:rsidP="00DD1F38">
            <w:r>
              <w:rPr>
                <w:rFonts w:cs="Times New Roman"/>
                <w:b/>
                <w:bCs/>
                <w:color w:val="000000"/>
                <w:sz w:val="16"/>
                <w:szCs w:val="16"/>
              </w:rPr>
              <w:t>Rs.9,685.00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24"/>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663" w:type="dxa"/>
          </w:tcPr>
          <w:p w:rsidR="00DD1F38" w:rsidRPr="00CC2F8C" w:rsidRDefault="00DD1F38" w:rsidP="00DD1F3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P.S-Khatra, Dist.-</w:t>
            </w:r>
            <w:proofErr w:type="spellStart"/>
            <w:r w:rsidRPr="00CC2F8C">
              <w:rPr>
                <w:sz w:val="16"/>
                <w:szCs w:val="16"/>
              </w:rPr>
              <w:t>Bankura</w:t>
            </w:r>
            <w:proofErr w:type="spellEnd"/>
            <w:r w:rsidRPr="00CC2F8C">
              <w:rPr>
                <w:sz w:val="16"/>
                <w:szCs w:val="16"/>
              </w:rPr>
              <w:t>. (Reach-III)"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right"/>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85,425</w:t>
            </w:r>
            <w:r w:rsidRPr="00CC2F8C">
              <w:rPr>
                <w:b/>
                <w:sz w:val="16"/>
                <w:szCs w:val="16"/>
              </w:rPr>
              <w:t>.00</w:t>
            </w:r>
          </w:p>
        </w:tc>
        <w:tc>
          <w:tcPr>
            <w:tcW w:w="1134" w:type="dxa"/>
          </w:tcPr>
          <w:p w:rsidR="00DD1F38" w:rsidRDefault="00DD1F38" w:rsidP="00DD1F38">
            <w:r>
              <w:rPr>
                <w:rFonts w:cs="Times New Roman"/>
                <w:b/>
                <w:bCs/>
                <w:color w:val="000000"/>
                <w:sz w:val="16"/>
                <w:szCs w:val="16"/>
              </w:rPr>
              <w:t>Rs.9,710.00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30"/>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"Construction of Granular Sub-base of Link Road in between </w:t>
            </w:r>
            <w:proofErr w:type="spellStart"/>
            <w:r w:rsidRPr="00CC2F8C">
              <w:rPr>
                <w:sz w:val="16"/>
                <w:szCs w:val="16"/>
              </w:rPr>
              <w:t>Mukutmunipur-Gorabari</w:t>
            </w:r>
            <w:proofErr w:type="spellEnd"/>
            <w:r w:rsidRPr="00CC2F8C">
              <w:rPr>
                <w:sz w:val="16"/>
                <w:szCs w:val="16"/>
              </w:rPr>
              <w:t xml:space="preserve"> road &amp; Dam embankment Road under K. C. Division No-II in Block &amp; P.S-Khatra, Dist.-</w:t>
            </w:r>
            <w:proofErr w:type="spellStart"/>
            <w:r w:rsidRPr="00CC2F8C">
              <w:rPr>
                <w:sz w:val="16"/>
                <w:szCs w:val="16"/>
              </w:rPr>
              <w:t>Bankura</w:t>
            </w:r>
            <w:proofErr w:type="spellEnd"/>
            <w:r w:rsidRPr="00CC2F8C">
              <w:rPr>
                <w:sz w:val="16"/>
                <w:szCs w:val="16"/>
              </w:rPr>
              <w:t>. (Reach-II)"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84,489</w:t>
            </w:r>
            <w:r w:rsidRPr="00CC2F8C">
              <w:rPr>
                <w:b/>
                <w:sz w:val="16"/>
                <w:szCs w:val="16"/>
              </w:rPr>
              <w:t>.00</w:t>
            </w:r>
          </w:p>
        </w:tc>
        <w:tc>
          <w:tcPr>
            <w:tcW w:w="1134" w:type="dxa"/>
          </w:tcPr>
          <w:p w:rsidR="00DD1F38" w:rsidRDefault="00DD1F38" w:rsidP="00DD1F38">
            <w:r>
              <w:rPr>
                <w:rFonts w:cs="Times New Roman"/>
                <w:b/>
                <w:bCs/>
                <w:color w:val="000000"/>
                <w:sz w:val="16"/>
                <w:szCs w:val="16"/>
              </w:rPr>
              <w:t>Rs.9,690.00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36"/>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663" w:type="dxa"/>
          </w:tcPr>
          <w:p w:rsidR="00DD1F38" w:rsidRPr="00CC2F8C" w:rsidRDefault="00DD1F38" w:rsidP="00DD1F3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P.S-Khatra, Dist.-</w:t>
            </w:r>
            <w:proofErr w:type="spellStart"/>
            <w:r w:rsidRPr="00CC2F8C">
              <w:rPr>
                <w:sz w:val="16"/>
                <w:szCs w:val="16"/>
              </w:rPr>
              <w:t>Bankura</w:t>
            </w:r>
            <w:proofErr w:type="spellEnd"/>
            <w:r w:rsidRPr="00CC2F8C">
              <w:rPr>
                <w:sz w:val="16"/>
                <w:szCs w:val="16"/>
              </w:rPr>
              <w:t>. (Reach-VI)"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right"/>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85,421</w:t>
            </w:r>
            <w:r w:rsidRPr="00CC2F8C">
              <w:rPr>
                <w:b/>
                <w:sz w:val="16"/>
                <w:szCs w:val="16"/>
              </w:rPr>
              <w:t>.00</w:t>
            </w:r>
          </w:p>
        </w:tc>
        <w:tc>
          <w:tcPr>
            <w:tcW w:w="1134" w:type="dxa"/>
          </w:tcPr>
          <w:p w:rsidR="00DD1F38" w:rsidRDefault="00DD1F38" w:rsidP="00DD1F38">
            <w:r>
              <w:rPr>
                <w:rFonts w:cs="Times New Roman"/>
                <w:b/>
                <w:bCs/>
                <w:color w:val="000000"/>
                <w:sz w:val="16"/>
                <w:szCs w:val="16"/>
              </w:rPr>
              <w:t>Rs.9,710.00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41"/>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"M/R to Boundary wall of </w:t>
            </w:r>
            <w:proofErr w:type="spellStart"/>
            <w:r w:rsidRPr="00CC2F8C">
              <w:rPr>
                <w:sz w:val="16"/>
                <w:szCs w:val="16"/>
              </w:rPr>
              <w:t>Kangsabati</w:t>
            </w:r>
            <w:proofErr w:type="spellEnd"/>
            <w:r w:rsidRPr="00CC2F8C">
              <w:rPr>
                <w:sz w:val="16"/>
                <w:szCs w:val="16"/>
              </w:rPr>
              <w:t xml:space="preserve"> Temporary Colony under K.C Division No-II in Block &amp; P.S-Khatra, Dist.-</w:t>
            </w:r>
            <w:proofErr w:type="spellStart"/>
            <w:r w:rsidRPr="00CC2F8C">
              <w:rPr>
                <w:sz w:val="16"/>
                <w:szCs w:val="16"/>
              </w:rPr>
              <w:t>Bankura</w:t>
            </w:r>
            <w:proofErr w:type="spellEnd"/>
            <w:r w:rsidRPr="00CC2F8C">
              <w:rPr>
                <w:sz w:val="16"/>
                <w:szCs w:val="16"/>
              </w:rPr>
              <w:t>. (Reach-III)"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82,941</w:t>
            </w:r>
            <w:r w:rsidRPr="00CC2F8C">
              <w:rPr>
                <w:b/>
                <w:sz w:val="16"/>
                <w:szCs w:val="16"/>
              </w:rPr>
              <w:t>.00</w:t>
            </w:r>
          </w:p>
        </w:tc>
        <w:tc>
          <w:tcPr>
            <w:tcW w:w="1134" w:type="dxa"/>
          </w:tcPr>
          <w:p w:rsidR="00DD1F38" w:rsidRDefault="00DD1F38" w:rsidP="00DD1F38">
            <w:r>
              <w:rPr>
                <w:rFonts w:cs="Times New Roman"/>
                <w:b/>
                <w:bCs/>
                <w:color w:val="000000"/>
                <w:sz w:val="16"/>
                <w:szCs w:val="16"/>
              </w:rPr>
              <w:t>Rs.9,660.00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33"/>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"Construction of Bituminous Macadam over Spillway Road of </w:t>
            </w:r>
            <w:proofErr w:type="spellStart"/>
            <w:r w:rsidRPr="00CC2F8C">
              <w:rPr>
                <w:sz w:val="16"/>
                <w:szCs w:val="16"/>
              </w:rPr>
              <w:t>Mukutmunipur</w:t>
            </w:r>
            <w:proofErr w:type="spellEnd"/>
            <w:r w:rsidRPr="00CC2F8C">
              <w:rPr>
                <w:sz w:val="16"/>
                <w:szCs w:val="16"/>
              </w:rPr>
              <w:t xml:space="preserve"> Dam under K.C Division No-II in Block &amp; P.S-Khatra, Dist.-</w:t>
            </w:r>
            <w:proofErr w:type="spellStart"/>
            <w:r w:rsidRPr="00CC2F8C">
              <w:rPr>
                <w:sz w:val="16"/>
                <w:szCs w:val="16"/>
              </w:rPr>
              <w:t>Bankura</w:t>
            </w:r>
            <w:proofErr w:type="spellEnd"/>
            <w:r w:rsidRPr="00CC2F8C">
              <w:rPr>
                <w:sz w:val="16"/>
                <w:szCs w:val="16"/>
              </w:rPr>
              <w:t>."</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1F38" w:rsidP="00DD1F38">
            <w:pPr>
              <w:tabs>
                <w:tab w:val="left" w:pos="6495"/>
              </w:tabs>
              <w:jc w:val="both"/>
              <w:rPr>
                <w:b/>
                <w:sz w:val="16"/>
                <w:szCs w:val="16"/>
              </w:rPr>
            </w:pPr>
            <w:proofErr w:type="spellStart"/>
            <w:r>
              <w:rPr>
                <w:b/>
                <w:sz w:val="16"/>
                <w:szCs w:val="16"/>
              </w:rPr>
              <w:t>Rs</w:t>
            </w:r>
            <w:proofErr w:type="spellEnd"/>
            <w:r>
              <w:rPr>
                <w:b/>
                <w:sz w:val="16"/>
                <w:szCs w:val="16"/>
              </w:rPr>
              <w:t xml:space="preserve">. </w:t>
            </w:r>
            <w:r w:rsidRPr="00CC2F8C">
              <w:rPr>
                <w:b/>
                <w:sz w:val="16"/>
                <w:szCs w:val="16"/>
              </w:rPr>
              <w:t>4,</w:t>
            </w:r>
            <w:r>
              <w:rPr>
                <w:b/>
                <w:sz w:val="16"/>
                <w:szCs w:val="16"/>
              </w:rPr>
              <w:t>83,887</w:t>
            </w:r>
            <w:r w:rsidRPr="00CC2F8C">
              <w:rPr>
                <w:b/>
                <w:sz w:val="16"/>
                <w:szCs w:val="16"/>
              </w:rPr>
              <w:t>.00</w:t>
            </w:r>
          </w:p>
        </w:tc>
        <w:tc>
          <w:tcPr>
            <w:tcW w:w="1134" w:type="dxa"/>
          </w:tcPr>
          <w:p w:rsidR="00DD1F38" w:rsidRDefault="00DD1F38" w:rsidP="00DD1F38">
            <w:proofErr w:type="spellStart"/>
            <w:r>
              <w:rPr>
                <w:rFonts w:cs="Times New Roman"/>
                <w:b/>
                <w:bCs/>
                <w:color w:val="000000"/>
                <w:sz w:val="16"/>
                <w:szCs w:val="16"/>
              </w:rPr>
              <w:t>Rs</w:t>
            </w:r>
            <w:proofErr w:type="spellEnd"/>
            <w:r>
              <w:rPr>
                <w:rFonts w:cs="Times New Roman"/>
                <w:b/>
                <w:bCs/>
                <w:color w:val="000000"/>
                <w:sz w:val="16"/>
                <w:szCs w:val="16"/>
              </w:rPr>
              <w:t xml:space="preserve"> 9,680.00.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198"/>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"Construction of Bituminous Macadam from Ch. 73.00 to Ch. 78.50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P.S-Khatra, Dist.-</w:t>
            </w:r>
            <w:proofErr w:type="spellStart"/>
            <w:r w:rsidRPr="00CC2F8C">
              <w:rPr>
                <w:sz w:val="16"/>
                <w:szCs w:val="16"/>
              </w:rPr>
              <w:t>Bankura</w:t>
            </w:r>
            <w:proofErr w:type="spellEnd"/>
            <w:r w:rsidRPr="00CC2F8C">
              <w:rPr>
                <w:sz w:val="16"/>
                <w:szCs w:val="16"/>
              </w:rPr>
              <w:t>."</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65AA" w:rsidP="00DD65AA">
            <w:pPr>
              <w:tabs>
                <w:tab w:val="left" w:pos="6495"/>
              </w:tabs>
              <w:jc w:val="both"/>
              <w:rPr>
                <w:b/>
                <w:sz w:val="16"/>
                <w:szCs w:val="16"/>
              </w:rPr>
            </w:pPr>
            <w:proofErr w:type="spellStart"/>
            <w:r>
              <w:rPr>
                <w:b/>
                <w:sz w:val="16"/>
                <w:szCs w:val="16"/>
              </w:rPr>
              <w:t>Rs</w:t>
            </w:r>
            <w:proofErr w:type="spellEnd"/>
            <w:r>
              <w:rPr>
                <w:b/>
                <w:sz w:val="16"/>
                <w:szCs w:val="16"/>
              </w:rPr>
              <w:t xml:space="preserve">. </w:t>
            </w:r>
            <w:r w:rsidR="00DD1F38" w:rsidRPr="00CC2F8C">
              <w:rPr>
                <w:b/>
                <w:sz w:val="16"/>
                <w:szCs w:val="16"/>
              </w:rPr>
              <w:t>4,</w:t>
            </w:r>
            <w:r>
              <w:rPr>
                <w:b/>
                <w:sz w:val="16"/>
                <w:szCs w:val="16"/>
              </w:rPr>
              <w:t>84,316</w:t>
            </w:r>
            <w:r w:rsidR="00DD1F38" w:rsidRPr="00CC2F8C">
              <w:rPr>
                <w:b/>
                <w:sz w:val="16"/>
                <w:szCs w:val="16"/>
              </w:rPr>
              <w:t>.00</w:t>
            </w:r>
          </w:p>
        </w:tc>
        <w:tc>
          <w:tcPr>
            <w:tcW w:w="1134" w:type="dxa"/>
          </w:tcPr>
          <w:p w:rsidR="00DD1F38" w:rsidRDefault="00DD1F38" w:rsidP="00DD65AA">
            <w:r>
              <w:rPr>
                <w:rFonts w:cs="Times New Roman"/>
                <w:b/>
                <w:bCs/>
                <w:color w:val="000000"/>
                <w:sz w:val="16"/>
                <w:szCs w:val="16"/>
              </w:rPr>
              <w:t>Rs.9,</w:t>
            </w:r>
            <w:r w:rsidR="00DD65AA">
              <w:rPr>
                <w:rFonts w:cs="Times New Roman"/>
                <w:b/>
                <w:bCs/>
                <w:color w:val="000000"/>
                <w:sz w:val="16"/>
                <w:szCs w:val="16"/>
              </w:rPr>
              <w:t>690</w:t>
            </w:r>
            <w:r>
              <w:rPr>
                <w:rFonts w:cs="Times New Roman"/>
                <w:b/>
                <w:bCs/>
                <w:color w:val="000000"/>
                <w:sz w:val="16"/>
                <w:szCs w:val="16"/>
              </w:rPr>
              <w:t>.00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190"/>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12</w:t>
            </w:r>
          </w:p>
        </w:tc>
        <w:tc>
          <w:tcPr>
            <w:tcW w:w="6663" w:type="dxa"/>
          </w:tcPr>
          <w:p w:rsidR="00DD1F38" w:rsidRPr="00CC2F8C" w:rsidRDefault="00DD1F38" w:rsidP="00DD1F3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P.S-Khatra, Dist.-</w:t>
            </w:r>
            <w:proofErr w:type="spellStart"/>
            <w:r w:rsidRPr="00CC2F8C">
              <w:rPr>
                <w:sz w:val="16"/>
                <w:szCs w:val="16"/>
              </w:rPr>
              <w:t>Bankura</w:t>
            </w:r>
            <w:proofErr w:type="spellEnd"/>
            <w:r w:rsidRPr="00CC2F8C">
              <w:rPr>
                <w:sz w:val="16"/>
                <w:szCs w:val="16"/>
              </w:rPr>
              <w:t>. (Reach-VII)"</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65AA" w:rsidP="00DD65AA">
            <w:pPr>
              <w:tabs>
                <w:tab w:val="left" w:pos="6495"/>
              </w:tabs>
              <w:jc w:val="right"/>
              <w:rPr>
                <w:b/>
                <w:sz w:val="16"/>
                <w:szCs w:val="16"/>
              </w:rPr>
            </w:pPr>
            <w:proofErr w:type="spellStart"/>
            <w:r>
              <w:rPr>
                <w:b/>
                <w:sz w:val="16"/>
                <w:szCs w:val="16"/>
              </w:rPr>
              <w:t>Rs</w:t>
            </w:r>
            <w:proofErr w:type="spellEnd"/>
            <w:r>
              <w:rPr>
                <w:b/>
                <w:sz w:val="16"/>
                <w:szCs w:val="16"/>
              </w:rPr>
              <w:t xml:space="preserve">. </w:t>
            </w:r>
            <w:r w:rsidR="00DD1F38" w:rsidRPr="00CC2F8C">
              <w:rPr>
                <w:b/>
                <w:sz w:val="16"/>
                <w:szCs w:val="16"/>
              </w:rPr>
              <w:t>4,</w:t>
            </w:r>
            <w:r>
              <w:rPr>
                <w:b/>
                <w:sz w:val="16"/>
                <w:szCs w:val="16"/>
              </w:rPr>
              <w:t>85,461</w:t>
            </w:r>
            <w:r w:rsidR="00DD1F38" w:rsidRPr="00CC2F8C">
              <w:rPr>
                <w:b/>
                <w:sz w:val="16"/>
                <w:szCs w:val="16"/>
              </w:rPr>
              <w:t>.00</w:t>
            </w:r>
          </w:p>
        </w:tc>
        <w:tc>
          <w:tcPr>
            <w:tcW w:w="1134" w:type="dxa"/>
          </w:tcPr>
          <w:p w:rsidR="00DD1F38" w:rsidRDefault="00DD1F38" w:rsidP="00DD1F38">
            <w:r>
              <w:rPr>
                <w:rFonts w:cs="Times New Roman"/>
                <w:b/>
                <w:bCs/>
                <w:color w:val="000000"/>
                <w:sz w:val="16"/>
                <w:szCs w:val="16"/>
              </w:rPr>
              <w:t>Rs.9,710.00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DD1F38" w:rsidRPr="00791157" w:rsidTr="00765469">
        <w:trPr>
          <w:trHeight w:val="337"/>
        </w:trPr>
        <w:tc>
          <w:tcPr>
            <w:tcW w:w="425" w:type="dxa"/>
          </w:tcPr>
          <w:p w:rsidR="00DD1F38" w:rsidRPr="00927E49" w:rsidRDefault="00DD1F38" w:rsidP="00DD1F3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13</w:t>
            </w:r>
          </w:p>
        </w:tc>
        <w:tc>
          <w:tcPr>
            <w:tcW w:w="6663" w:type="dxa"/>
          </w:tcPr>
          <w:p w:rsidR="00DD1F38" w:rsidRPr="00CC2F8C" w:rsidRDefault="00DD1F38" w:rsidP="00DD1F38">
            <w:pPr>
              <w:tabs>
                <w:tab w:val="left" w:pos="6495"/>
              </w:tabs>
              <w:jc w:val="both"/>
              <w:rPr>
                <w:sz w:val="16"/>
                <w:szCs w:val="16"/>
              </w:rPr>
            </w:pPr>
            <w:r w:rsidRPr="00CC2F8C">
              <w:rPr>
                <w:sz w:val="16"/>
                <w:szCs w:val="16"/>
              </w:rPr>
              <w:t xml:space="preserve">"M/R to Boundary wall of </w:t>
            </w:r>
            <w:proofErr w:type="spellStart"/>
            <w:r w:rsidRPr="00CC2F8C">
              <w:rPr>
                <w:sz w:val="16"/>
                <w:szCs w:val="16"/>
              </w:rPr>
              <w:t>Kangsabati</w:t>
            </w:r>
            <w:proofErr w:type="spellEnd"/>
            <w:r w:rsidRPr="00CC2F8C">
              <w:rPr>
                <w:sz w:val="16"/>
                <w:szCs w:val="16"/>
              </w:rPr>
              <w:t xml:space="preserve"> Temporary Colony under K.C Division No-II in Block &amp; P.S-Khatra, Dist.-</w:t>
            </w:r>
            <w:proofErr w:type="spellStart"/>
            <w:r w:rsidRPr="00CC2F8C">
              <w:rPr>
                <w:sz w:val="16"/>
                <w:szCs w:val="16"/>
              </w:rPr>
              <w:t>Bankura</w:t>
            </w:r>
            <w:proofErr w:type="spellEnd"/>
            <w:r w:rsidRPr="00CC2F8C">
              <w:rPr>
                <w:sz w:val="16"/>
                <w:szCs w:val="16"/>
              </w:rPr>
              <w:t>. (Reach-IV)"</w:t>
            </w:r>
          </w:p>
        </w:tc>
        <w:tc>
          <w:tcPr>
            <w:tcW w:w="1134" w:type="dxa"/>
          </w:tcPr>
          <w:p w:rsidR="00DD1F38" w:rsidRDefault="00DD1F38" w:rsidP="00DD1F38">
            <w:r w:rsidRPr="008165B4">
              <w:rPr>
                <w:rFonts w:ascii="Microsoft Sans Serif" w:hAnsi="Microsoft Sans Serif" w:cs="Microsoft Sans Serif"/>
                <w:color w:val="000000"/>
                <w:sz w:val="16"/>
                <w:szCs w:val="16"/>
              </w:rPr>
              <w:t>Non- Plan Maintenance</w:t>
            </w:r>
          </w:p>
        </w:tc>
        <w:tc>
          <w:tcPr>
            <w:tcW w:w="1275" w:type="dxa"/>
          </w:tcPr>
          <w:p w:rsidR="00DD1F38" w:rsidRPr="00CC2F8C" w:rsidRDefault="00DD65AA" w:rsidP="00DD65AA">
            <w:pPr>
              <w:tabs>
                <w:tab w:val="left" w:pos="6495"/>
              </w:tabs>
              <w:jc w:val="both"/>
              <w:rPr>
                <w:b/>
                <w:sz w:val="16"/>
                <w:szCs w:val="16"/>
              </w:rPr>
            </w:pPr>
            <w:proofErr w:type="spellStart"/>
            <w:r>
              <w:rPr>
                <w:b/>
                <w:sz w:val="16"/>
                <w:szCs w:val="16"/>
              </w:rPr>
              <w:t>Rs</w:t>
            </w:r>
            <w:proofErr w:type="spellEnd"/>
            <w:r>
              <w:rPr>
                <w:b/>
                <w:sz w:val="16"/>
                <w:szCs w:val="16"/>
              </w:rPr>
              <w:t xml:space="preserve">. </w:t>
            </w:r>
            <w:r w:rsidR="00DD1F38" w:rsidRPr="00CC2F8C">
              <w:rPr>
                <w:b/>
                <w:sz w:val="16"/>
                <w:szCs w:val="16"/>
              </w:rPr>
              <w:t>4,</w:t>
            </w:r>
            <w:r>
              <w:rPr>
                <w:b/>
                <w:sz w:val="16"/>
                <w:szCs w:val="16"/>
              </w:rPr>
              <w:t>83,530</w:t>
            </w:r>
            <w:r w:rsidR="00DD1F38" w:rsidRPr="00CC2F8C">
              <w:rPr>
                <w:b/>
                <w:sz w:val="16"/>
                <w:szCs w:val="16"/>
              </w:rPr>
              <w:t>.00</w:t>
            </w:r>
          </w:p>
        </w:tc>
        <w:tc>
          <w:tcPr>
            <w:tcW w:w="1134" w:type="dxa"/>
          </w:tcPr>
          <w:p w:rsidR="00DD1F38" w:rsidRDefault="00DD1F38" w:rsidP="00DD65AA">
            <w:r>
              <w:rPr>
                <w:rFonts w:cs="Times New Roman"/>
                <w:b/>
                <w:bCs/>
                <w:color w:val="000000"/>
                <w:sz w:val="16"/>
                <w:szCs w:val="16"/>
              </w:rPr>
              <w:t>Rs.9,</w:t>
            </w:r>
            <w:r w:rsidR="00DD65AA">
              <w:rPr>
                <w:rFonts w:cs="Times New Roman"/>
                <w:b/>
                <w:bCs/>
                <w:color w:val="000000"/>
                <w:sz w:val="16"/>
                <w:szCs w:val="16"/>
              </w:rPr>
              <w:t>675</w:t>
            </w:r>
            <w:r>
              <w:rPr>
                <w:rFonts w:cs="Times New Roman"/>
                <w:b/>
                <w:bCs/>
                <w:color w:val="000000"/>
                <w:sz w:val="16"/>
                <w:szCs w:val="16"/>
              </w:rPr>
              <w:t>.00</w:t>
            </w:r>
          </w:p>
        </w:tc>
        <w:tc>
          <w:tcPr>
            <w:tcW w:w="1134" w:type="dxa"/>
          </w:tcPr>
          <w:p w:rsidR="00DD1F38" w:rsidRDefault="00DD1F38" w:rsidP="00DD1F38">
            <w:pPr>
              <w:jc w:val="center"/>
            </w:pPr>
            <w:r w:rsidRPr="00B3100F">
              <w:rPr>
                <w:rFonts w:ascii="Gill Sans MT Condensed" w:hAnsi="Gill Sans MT Condensed" w:cs="Gill Sans MT Condensed"/>
                <w:color w:val="000000"/>
                <w:sz w:val="16"/>
                <w:szCs w:val="16"/>
              </w:rPr>
              <w:t>NIL</w:t>
            </w:r>
          </w:p>
        </w:tc>
        <w:tc>
          <w:tcPr>
            <w:tcW w:w="993" w:type="dxa"/>
          </w:tcPr>
          <w:p w:rsidR="00DD1F38" w:rsidRDefault="00DD1F38" w:rsidP="00DD1F38">
            <w:pPr>
              <w:jc w:val="center"/>
            </w:pPr>
            <w:r w:rsidRPr="00962072">
              <w:rPr>
                <w:b/>
                <w:sz w:val="16"/>
                <w:szCs w:val="16"/>
              </w:rPr>
              <w:t>14 days</w:t>
            </w:r>
          </w:p>
        </w:tc>
        <w:tc>
          <w:tcPr>
            <w:tcW w:w="2873" w:type="dxa"/>
          </w:tcPr>
          <w:p w:rsidR="00DD1F38" w:rsidRPr="00A844F2" w:rsidRDefault="00DD1F38" w:rsidP="00DD1F3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bl>
    <w:p w:rsidR="00C312D9" w:rsidRDefault="00C312D9" w:rsidP="00C312D9">
      <w:pPr>
        <w:ind w:left="227" w:right="227"/>
      </w:pPr>
    </w:p>
    <w:p w:rsidR="007D4E61" w:rsidRDefault="007D4E61" w:rsidP="00C312D9">
      <w:pPr>
        <w:ind w:left="227" w:right="227"/>
      </w:pPr>
    </w:p>
    <w:p w:rsidR="007D4E61" w:rsidRDefault="007D4E61" w:rsidP="00C312D9">
      <w:pPr>
        <w:ind w:left="227" w:right="227"/>
      </w:pPr>
    </w:p>
    <w:p w:rsidR="00C312D9" w:rsidRPr="008B0A94" w:rsidRDefault="00C312D9" w:rsidP="00C312D9">
      <w:pPr>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r>
        <w:rPr>
          <w:rFonts w:cs="Times New Roman"/>
          <w:b/>
          <w:sz w:val="16"/>
          <w:szCs w:val="16"/>
        </w:rPr>
        <w:t xml:space="preserve"> </w:t>
      </w:r>
      <w:r w:rsidR="008B41B3">
        <w:rPr>
          <w:rFonts w:cs="Times New Roman"/>
          <w:b/>
          <w:sz w:val="16"/>
          <w:szCs w:val="16"/>
        </w:rPr>
        <w:t xml:space="preserve">   </w:t>
      </w: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C312D9" w:rsidRPr="00DD65AA" w:rsidRDefault="00C312D9" w:rsidP="00DD65AA">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bookmarkStart w:id="0" w:name="_GoBack"/>
      <w:bookmarkEnd w:id="0"/>
    </w:p>
    <w:sectPr w:rsidR="00C312D9" w:rsidRPr="00DD65AA" w:rsidSect="00C37AF9">
      <w:pgSz w:w="16838" w:h="11906" w:orient="landscape" w:code="9"/>
      <w:pgMar w:top="17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93"/>
    <w:rsid w:val="00034BDF"/>
    <w:rsid w:val="000C1AA7"/>
    <w:rsid w:val="001C3514"/>
    <w:rsid w:val="00226908"/>
    <w:rsid w:val="0025072A"/>
    <w:rsid w:val="002C480D"/>
    <w:rsid w:val="002E3ECB"/>
    <w:rsid w:val="00423B0C"/>
    <w:rsid w:val="00525502"/>
    <w:rsid w:val="005B3A2A"/>
    <w:rsid w:val="00666B93"/>
    <w:rsid w:val="00696F49"/>
    <w:rsid w:val="007C12E5"/>
    <w:rsid w:val="007D4E61"/>
    <w:rsid w:val="00847AE0"/>
    <w:rsid w:val="00850BB1"/>
    <w:rsid w:val="008B41B3"/>
    <w:rsid w:val="008E2E89"/>
    <w:rsid w:val="00906518"/>
    <w:rsid w:val="00A8089A"/>
    <w:rsid w:val="00A844F2"/>
    <w:rsid w:val="00AC1147"/>
    <w:rsid w:val="00AD5CF8"/>
    <w:rsid w:val="00AF7517"/>
    <w:rsid w:val="00B620D6"/>
    <w:rsid w:val="00C312D9"/>
    <w:rsid w:val="00C37AF9"/>
    <w:rsid w:val="00C45902"/>
    <w:rsid w:val="00DD1F38"/>
    <w:rsid w:val="00DD65AA"/>
    <w:rsid w:val="00E37FF2"/>
    <w:rsid w:val="00E736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C2A5"/>
  <w15:chartTrackingRefBased/>
  <w15:docId w15:val="{5C937308-7009-460D-AA62-A6502FB5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2019-11-07T08:00:00Z</cp:lastPrinted>
  <dcterms:created xsi:type="dcterms:W3CDTF">2019-11-01T13:19:00Z</dcterms:created>
  <dcterms:modified xsi:type="dcterms:W3CDTF">2019-12-03T14:52:00Z</dcterms:modified>
</cp:coreProperties>
</file>